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atrae inversión asiática hacia América Latina con emisión de bonos en mercado Samurái</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La institución financiera demuestra su capacidad de diversificar fuentes de financiamiento en un mercado poco usual para emisores de América Latina como es el japonés, con una colocación de 17.200 millones de yenes para financiar diversos proyectos que promoverán la recuperación económica y social de la región.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08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junio</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color w:val="222222"/>
          <w:rtl w:val="0"/>
        </w:rPr>
        <w:t xml:space="preserve">América Latina contará con nuevos recursos para impulsar su reactivación económica y social gracias a la exitosa colocación de bonos realizada por CAF –banco de desarrollo de América Latina- en el mercado Samurái por 17.200 millones de yenes (USD 160 millones) a una tasa de 0,77% con un plazo de 5 años.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reafirma su presencia en el mercado japonés, poco usual para emisores de América Latina, para diversificar sus fuentes de financiamiento y aprovechar la confianza de los inversionistas minoritarios, quienes lideraron esta emisión de bonos que tuvo como agente colocador a Daiwa Capital Markets.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“Nos complace regresar al mercado Samurái luego de cuatro años y ratificar la confianza de los inversionistas en la solidez financiera de CAF y su rol catalítico al atraer fondos de otros mercados hacia América Latina, con el objetivo de generar mayor inversión y mejores condiciones de financiamiento para el desarrollo de la región en momentos en los que más se necesitan", afirmó Luis Carranza Ugarte, presidente ejecutivo de CAF.</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lleva a cabo, desde hace más de dos décadas, una estrategia de diversificación de sus fuentes de financiamiento, a través de una presencia ininterrumpida en los mercados globales de capital, que lo han ubicado en una posición privilegiada internacionalmente. La multilateral promueve el desarrollo sostenible y la integración regional, mediante una eficiente movilización de recursos para la prestación oportuna de servicios financieros múltiples, de alto valor agregado, a clientes de los sectores públicos y privado de los países accionistas.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3">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4">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5">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19050</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